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60E11" w14:textId="76918D94" w:rsidR="009A3B58" w:rsidRPr="00C72D31" w:rsidRDefault="008B4DD2">
      <w:pPr>
        <w:rPr>
          <w:rStyle w:val="Stark"/>
          <w:sz w:val="28"/>
          <w:szCs w:val="28"/>
          <w:lang w:val="en-US"/>
        </w:rPr>
      </w:pPr>
      <w:r w:rsidRPr="00C72D31">
        <w:rPr>
          <w:rStyle w:val="Stark"/>
          <w:sz w:val="28"/>
          <w:szCs w:val="28"/>
          <w:lang w:val="en-US"/>
        </w:rPr>
        <w:t xml:space="preserve">Tools for Alloy Design: The C-window in </w:t>
      </w:r>
      <w:proofErr w:type="spellStart"/>
      <w:r w:rsidRPr="00C72D31">
        <w:rPr>
          <w:rStyle w:val="Stark"/>
          <w:sz w:val="28"/>
          <w:szCs w:val="28"/>
          <w:lang w:val="en-US"/>
        </w:rPr>
        <w:t>Hardmetals</w:t>
      </w:r>
      <w:proofErr w:type="spellEnd"/>
      <w:r w:rsidR="00354E45" w:rsidRPr="00C72D31">
        <w:rPr>
          <w:rStyle w:val="Stark"/>
          <w:sz w:val="28"/>
          <w:szCs w:val="28"/>
          <w:lang w:val="en-US"/>
        </w:rPr>
        <w:t xml:space="preserve"> </w:t>
      </w:r>
      <w:r w:rsidR="008E313E" w:rsidRPr="00C72D31">
        <w:rPr>
          <w:rStyle w:val="Stark"/>
          <w:sz w:val="28"/>
          <w:szCs w:val="28"/>
          <w:lang w:val="en-US"/>
        </w:rPr>
        <w:t>by a Simplified Tool</w:t>
      </w:r>
    </w:p>
    <w:p w14:paraId="4D318306" w14:textId="7E97112E" w:rsidR="006433A8" w:rsidRPr="00960174" w:rsidRDefault="006433A8" w:rsidP="006B5D65">
      <w:pPr>
        <w:rPr>
          <w:lang w:val="en-US"/>
        </w:rPr>
      </w:pPr>
      <w:proofErr w:type="spellStart"/>
      <w:r>
        <w:rPr>
          <w:lang w:val="en-US"/>
        </w:rPr>
        <w:t>Hardmetals</w:t>
      </w:r>
      <w:proofErr w:type="spellEnd"/>
      <w:r>
        <w:rPr>
          <w:lang w:val="en-US"/>
        </w:rPr>
        <w:t xml:space="preserve">, also called cemented carbides, are </w:t>
      </w:r>
      <w:r w:rsidR="00960174" w:rsidRPr="00960174">
        <w:rPr>
          <w:lang w:val="en-US"/>
        </w:rPr>
        <w:t>composite material</w:t>
      </w:r>
      <w:r w:rsidR="00960174">
        <w:rPr>
          <w:lang w:val="en-US"/>
        </w:rPr>
        <w:t>s</w:t>
      </w:r>
      <w:r w:rsidR="00960174" w:rsidRPr="00960174">
        <w:rPr>
          <w:lang w:val="en-US"/>
        </w:rPr>
        <w:t xml:space="preserve"> made of refractory metal carbides (such as</w:t>
      </w:r>
      <w:r w:rsidR="005D301F">
        <w:rPr>
          <w:lang w:val="en-US"/>
        </w:rPr>
        <w:t xml:space="preserve"> tungsten carbide </w:t>
      </w:r>
      <w:r w:rsidR="00960174" w:rsidRPr="00960174">
        <w:rPr>
          <w:lang w:val="en-US"/>
        </w:rPr>
        <w:t xml:space="preserve">WC, titanium carbide </w:t>
      </w:r>
      <w:proofErr w:type="spellStart"/>
      <w:r w:rsidR="00960174" w:rsidRPr="00960174">
        <w:rPr>
          <w:lang w:val="en-US"/>
        </w:rPr>
        <w:t>TiC</w:t>
      </w:r>
      <w:proofErr w:type="spellEnd"/>
      <w:r w:rsidR="00960174" w:rsidRPr="00960174">
        <w:rPr>
          <w:lang w:val="en-US"/>
        </w:rPr>
        <w:t>, etc.) and bonding metals (such as cobalt Co, nickel Ni, etc.)</w:t>
      </w:r>
      <w:r w:rsidR="00F83F34">
        <w:rPr>
          <w:lang w:val="en-US"/>
        </w:rPr>
        <w:t>. They are produced</w:t>
      </w:r>
      <w:r w:rsidR="00960174" w:rsidRPr="00960174">
        <w:rPr>
          <w:lang w:val="en-US"/>
        </w:rPr>
        <w:t xml:space="preserve"> through powder metallurgy. </w:t>
      </w:r>
    </w:p>
    <w:p w14:paraId="62AFEF21" w14:textId="1E47744B" w:rsidR="00820D5E" w:rsidRDefault="006B5D65" w:rsidP="006B5D65">
      <w:pPr>
        <w:rPr>
          <w:lang w:val="en-US"/>
        </w:rPr>
      </w:pPr>
      <w:r w:rsidRPr="006B5D65">
        <w:rPr>
          <w:lang w:val="en-US"/>
        </w:rPr>
        <w:t xml:space="preserve">The application of computational thermodynamics to predict and adjust microstructures in </w:t>
      </w:r>
      <w:proofErr w:type="spellStart"/>
      <w:proofErr w:type="gramStart"/>
      <w:r w:rsidRPr="006B5D65">
        <w:rPr>
          <w:lang w:val="en-US"/>
        </w:rPr>
        <w:t>hardmetals</w:t>
      </w:r>
      <w:proofErr w:type="spellEnd"/>
      <w:proofErr w:type="gramEnd"/>
      <w:r w:rsidRPr="006B5D65">
        <w:rPr>
          <w:lang w:val="en-US"/>
        </w:rPr>
        <w:t xml:space="preserve"> is widespread. </w:t>
      </w:r>
      <w:proofErr w:type="spellStart"/>
      <w:r w:rsidRPr="006B5D65">
        <w:rPr>
          <w:lang w:val="en-US"/>
        </w:rPr>
        <w:t>Hardmetals</w:t>
      </w:r>
      <w:proofErr w:type="spellEnd"/>
      <w:r w:rsidRPr="006B5D65">
        <w:rPr>
          <w:lang w:val="en-US"/>
        </w:rPr>
        <w:t xml:space="preserve"> have a complex microstructure</w:t>
      </w:r>
      <w:r w:rsidR="007E7239">
        <w:rPr>
          <w:lang w:val="en-US"/>
        </w:rPr>
        <w:t xml:space="preserve"> and t</w:t>
      </w:r>
      <w:r w:rsidRPr="006B5D65">
        <w:rPr>
          <w:lang w:val="en-US"/>
        </w:rPr>
        <w:t>he type, fraction and composition of the hard phases, and the composition of the binder phase</w:t>
      </w:r>
      <w:r w:rsidR="007E7239">
        <w:rPr>
          <w:lang w:val="en-US"/>
        </w:rPr>
        <w:t xml:space="preserve"> can be calculated. </w:t>
      </w:r>
      <w:r w:rsidRPr="006B5D65">
        <w:rPr>
          <w:lang w:val="en-US"/>
        </w:rPr>
        <w:t xml:space="preserve"> </w:t>
      </w:r>
    </w:p>
    <w:p w14:paraId="0E073EFC" w14:textId="2578C42E" w:rsidR="00A572DF" w:rsidRDefault="006B5D65" w:rsidP="006B5D65">
      <w:pPr>
        <w:rPr>
          <w:lang w:val="en-US"/>
        </w:rPr>
      </w:pPr>
      <w:proofErr w:type="spellStart"/>
      <w:r w:rsidRPr="006B5D65">
        <w:rPr>
          <w:lang w:val="en-US"/>
        </w:rPr>
        <w:t>Hardmetals</w:t>
      </w:r>
      <w:proofErr w:type="spellEnd"/>
      <w:r w:rsidRPr="006B5D65">
        <w:rPr>
          <w:lang w:val="en-US"/>
        </w:rPr>
        <w:t xml:space="preserve"> are produced by sintering at high temperatures in a region where the binder phase is liquid. Sintering is thus mostly governed by diffusion in the liquid, which is rapid. Therefore, equilibrium calculations can give reasonable predictions of the phase compositions after sintering. The types of information that can be obtained from calculations are melting and solidification temperatures, composition of the binder, the types and compositions of carbides/nitrides. </w:t>
      </w:r>
    </w:p>
    <w:p w14:paraId="5AF9FCC1" w14:textId="37799E74" w:rsidR="006B5D65" w:rsidRDefault="006B5D65" w:rsidP="006B5D65">
      <w:pPr>
        <w:rPr>
          <w:lang w:val="en-US"/>
        </w:rPr>
      </w:pPr>
      <w:r w:rsidRPr="006B5D65">
        <w:rPr>
          <w:lang w:val="en-US"/>
        </w:rPr>
        <w:t xml:space="preserve">Another type of important information is the composition and temperature constraints that need to be applied to avoid detrimental phases in the </w:t>
      </w:r>
      <w:proofErr w:type="spellStart"/>
      <w:r w:rsidRPr="006B5D65">
        <w:rPr>
          <w:lang w:val="en-US"/>
        </w:rPr>
        <w:t>hardmetal</w:t>
      </w:r>
      <w:proofErr w:type="spellEnd"/>
      <w:r w:rsidRPr="006B5D65">
        <w:rPr>
          <w:lang w:val="en-US"/>
        </w:rPr>
        <w:t xml:space="preserve"> (eta-phase (M6C) or graphite)</w:t>
      </w:r>
      <w:r w:rsidR="00583E37">
        <w:rPr>
          <w:lang w:val="en-US"/>
        </w:rPr>
        <w:t xml:space="preserve">, often referred to as the carbon window. </w:t>
      </w:r>
      <w:r w:rsidR="00A572DF">
        <w:rPr>
          <w:lang w:val="en-US"/>
        </w:rPr>
        <w:t xml:space="preserve">The figures below show </w:t>
      </w:r>
      <w:r w:rsidR="009D15FC">
        <w:rPr>
          <w:lang w:val="en-US"/>
        </w:rPr>
        <w:t>how to obta</w:t>
      </w:r>
      <w:r w:rsidR="00BB35EF">
        <w:rPr>
          <w:lang w:val="en-US"/>
        </w:rPr>
        <w:t>i</w:t>
      </w:r>
      <w:r w:rsidR="009D15FC">
        <w:rPr>
          <w:lang w:val="en-US"/>
        </w:rPr>
        <w:t xml:space="preserve">n </w:t>
      </w:r>
      <w:r w:rsidR="00A572DF">
        <w:rPr>
          <w:lang w:val="en-US"/>
        </w:rPr>
        <w:t xml:space="preserve">the C-window </w:t>
      </w:r>
      <w:r w:rsidR="00937C8C">
        <w:rPr>
          <w:lang w:val="en-US"/>
        </w:rPr>
        <w:t xml:space="preserve">in </w:t>
      </w:r>
      <w:proofErr w:type="gramStart"/>
      <w:r w:rsidR="00937C8C">
        <w:rPr>
          <w:lang w:val="en-US"/>
        </w:rPr>
        <w:t>the  Co</w:t>
      </w:r>
      <w:proofErr w:type="gramEnd"/>
      <w:r w:rsidR="00937C8C">
        <w:rPr>
          <w:lang w:val="en-US"/>
        </w:rPr>
        <w:t>-W-C</w:t>
      </w:r>
      <w:r w:rsidR="009C348B">
        <w:rPr>
          <w:lang w:val="en-US"/>
        </w:rPr>
        <w:t xml:space="preserve"> system.</w:t>
      </w:r>
      <w:r w:rsidR="009D15FC">
        <w:rPr>
          <w:lang w:val="en-US"/>
        </w:rPr>
        <w:t xml:space="preserve"> </w:t>
      </w:r>
      <w:r w:rsidR="004D4106">
        <w:rPr>
          <w:lang w:val="en-US"/>
        </w:rPr>
        <w:t xml:space="preserve">The tool is available online </w:t>
      </w:r>
      <w:r w:rsidR="00BB35EF">
        <w:rPr>
          <w:lang w:val="en-US"/>
        </w:rPr>
        <w:t>after registration.</w:t>
      </w:r>
    </w:p>
    <w:p w14:paraId="4A7BBDAE" w14:textId="77777777" w:rsidR="00583E37" w:rsidRPr="006B5D65" w:rsidRDefault="00583E37" w:rsidP="006B5D65">
      <w:pPr>
        <w:rPr>
          <w:lang w:val="en-US"/>
        </w:rPr>
      </w:pPr>
    </w:p>
    <w:tbl>
      <w:tblPr>
        <w:tblStyle w:val="Tabellrutnt"/>
        <w:tblW w:w="0" w:type="auto"/>
        <w:tblLook w:val="04A0" w:firstRow="1" w:lastRow="0" w:firstColumn="1" w:lastColumn="0" w:noHBand="0" w:noVBand="1"/>
      </w:tblPr>
      <w:tblGrid>
        <w:gridCol w:w="4553"/>
        <w:gridCol w:w="4509"/>
      </w:tblGrid>
      <w:tr w:rsidR="00A572DF" w:rsidRPr="00A572DF" w14:paraId="74596D97" w14:textId="77777777" w:rsidTr="00A5764A">
        <w:tc>
          <w:tcPr>
            <w:tcW w:w="5098" w:type="dxa"/>
          </w:tcPr>
          <w:p w14:paraId="2E584726" w14:textId="77777777" w:rsidR="00A572DF" w:rsidRPr="00A572DF" w:rsidRDefault="00A572DF" w:rsidP="00A572DF">
            <w:pPr>
              <w:spacing w:after="240" w:line="320" w:lineRule="exact"/>
              <w:rPr>
                <w:rFonts w:ascii="Arial" w:hAnsi="Arial"/>
                <w:szCs w:val="24"/>
                <w:lang w:val="en-US"/>
              </w:rPr>
            </w:pPr>
          </w:p>
          <w:p w14:paraId="0BAE54B3" w14:textId="77777777" w:rsidR="00A572DF" w:rsidRPr="00A572DF" w:rsidRDefault="00A572DF" w:rsidP="00A572DF">
            <w:pPr>
              <w:spacing w:after="240" w:line="320" w:lineRule="exact"/>
              <w:rPr>
                <w:rFonts w:ascii="Arial" w:hAnsi="Arial"/>
                <w:szCs w:val="24"/>
                <w:lang w:val="en-US"/>
              </w:rPr>
            </w:pPr>
          </w:p>
          <w:p w14:paraId="39F40CFA" w14:textId="77777777" w:rsidR="00A572DF" w:rsidRPr="00A572DF" w:rsidRDefault="00A572DF" w:rsidP="00A572DF">
            <w:pPr>
              <w:spacing w:after="240" w:line="320" w:lineRule="exact"/>
              <w:rPr>
                <w:rFonts w:ascii="Arial" w:hAnsi="Arial"/>
                <w:szCs w:val="24"/>
                <w:lang w:val="en-US"/>
              </w:rPr>
            </w:pPr>
          </w:p>
          <w:p w14:paraId="62A2A444" w14:textId="77777777" w:rsidR="00A572DF" w:rsidRPr="00A572DF" w:rsidRDefault="00A572DF" w:rsidP="00A572DF">
            <w:pPr>
              <w:spacing w:after="240" w:line="320" w:lineRule="exact"/>
              <w:rPr>
                <w:rFonts w:ascii="Arial" w:hAnsi="Arial"/>
                <w:szCs w:val="24"/>
                <w:lang w:val="en-US"/>
              </w:rPr>
            </w:pPr>
          </w:p>
          <w:p w14:paraId="1484AF8E" w14:textId="77777777" w:rsidR="00A572DF" w:rsidRPr="00A572DF" w:rsidRDefault="00A572DF" w:rsidP="00A572DF">
            <w:pPr>
              <w:spacing w:after="240" w:line="320" w:lineRule="exact"/>
              <w:rPr>
                <w:rFonts w:ascii="Arial" w:hAnsi="Arial"/>
                <w:szCs w:val="24"/>
                <w:lang w:val="en-US"/>
              </w:rPr>
            </w:pPr>
          </w:p>
          <w:p w14:paraId="414F8ED0" w14:textId="77777777" w:rsidR="00A572DF" w:rsidRPr="00A572DF" w:rsidRDefault="00A572DF" w:rsidP="00A572DF">
            <w:pPr>
              <w:spacing w:after="240" w:line="320" w:lineRule="exact"/>
              <w:rPr>
                <w:rFonts w:ascii="Arial" w:hAnsi="Arial"/>
                <w:szCs w:val="24"/>
                <w:lang w:val="en-US"/>
              </w:rPr>
            </w:pPr>
          </w:p>
          <w:p w14:paraId="24268C31" w14:textId="77777777" w:rsidR="00A572DF" w:rsidRPr="00A572DF" w:rsidRDefault="00A572DF" w:rsidP="00A572DF">
            <w:pPr>
              <w:spacing w:after="240" w:line="320" w:lineRule="exact"/>
              <w:rPr>
                <w:rFonts w:ascii="Arial" w:hAnsi="Arial"/>
                <w:szCs w:val="24"/>
                <w:lang w:val="en-US"/>
              </w:rPr>
            </w:pPr>
          </w:p>
          <w:p w14:paraId="75DD0A57" w14:textId="77777777" w:rsidR="00A572DF" w:rsidRPr="00A572DF" w:rsidRDefault="00A572DF" w:rsidP="00A572DF">
            <w:pPr>
              <w:spacing w:after="240" w:line="320" w:lineRule="exact"/>
              <w:rPr>
                <w:rFonts w:ascii="Arial" w:hAnsi="Arial"/>
                <w:szCs w:val="24"/>
                <w:lang w:val="en-US"/>
              </w:rPr>
            </w:pPr>
            <w:r w:rsidRPr="00A572DF">
              <w:rPr>
                <w:rFonts w:ascii="Arial" w:hAnsi="Arial"/>
                <w:noProof/>
                <w:szCs w:val="24"/>
                <w:lang w:val="en-US"/>
              </w:rPr>
              <w:drawing>
                <wp:inline distT="0" distB="0" distL="0" distR="0" wp14:anchorId="0C639693" wp14:editId="34145A1F">
                  <wp:extent cx="2706763" cy="2362200"/>
                  <wp:effectExtent l="0" t="0" r="0" b="0"/>
                  <wp:docPr id="2050465382" name="Bildobjekt 1" descr="En bild som visar text, diagram,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65382" name="Bildobjekt 1" descr="En bild som visar text, diagram, linje, Graf&#10;&#10;AI-genererat innehåll kan vara felaktigt."/>
                          <pic:cNvPicPr/>
                        </pic:nvPicPr>
                        <pic:blipFill rotWithShape="1">
                          <a:blip r:embed="rId7" cstate="print">
                            <a:extLst>
                              <a:ext uri="{28A0092B-C50C-407E-A947-70E740481C1C}">
                                <a14:useLocalDpi xmlns:a14="http://schemas.microsoft.com/office/drawing/2010/main" val="0"/>
                              </a:ext>
                            </a:extLst>
                          </a:blip>
                          <a:srcRect t="8535"/>
                          <a:stretch/>
                        </pic:blipFill>
                        <pic:spPr bwMode="auto">
                          <a:xfrm>
                            <a:off x="0" y="0"/>
                            <a:ext cx="2746009" cy="2396450"/>
                          </a:xfrm>
                          <a:prstGeom prst="rect">
                            <a:avLst/>
                          </a:prstGeom>
                          <a:ln>
                            <a:noFill/>
                          </a:ln>
                          <a:extLst>
                            <a:ext uri="{53640926-AAD7-44D8-BBD7-CCE9431645EC}">
                              <a14:shadowObscured xmlns:a14="http://schemas.microsoft.com/office/drawing/2010/main"/>
                            </a:ext>
                          </a:extLst>
                        </pic:spPr>
                      </pic:pic>
                    </a:graphicData>
                  </a:graphic>
                </wp:inline>
              </w:drawing>
            </w:r>
          </w:p>
        </w:tc>
        <w:tc>
          <w:tcPr>
            <w:tcW w:w="5097" w:type="dxa"/>
          </w:tcPr>
          <w:p w14:paraId="3BE2A3F1" w14:textId="77777777" w:rsidR="00A572DF" w:rsidRPr="00A572DF" w:rsidRDefault="00A572DF" w:rsidP="00A572DF">
            <w:pPr>
              <w:spacing w:after="240" w:line="320" w:lineRule="exact"/>
              <w:rPr>
                <w:rFonts w:ascii="Arial" w:hAnsi="Arial"/>
                <w:szCs w:val="24"/>
                <w:lang w:val="en-US"/>
              </w:rPr>
            </w:pPr>
          </w:p>
          <w:p w14:paraId="00B8239B" w14:textId="77777777" w:rsidR="00A572DF" w:rsidRPr="00A572DF" w:rsidRDefault="00A572DF" w:rsidP="00A572DF">
            <w:pPr>
              <w:spacing w:after="240" w:line="320" w:lineRule="exact"/>
              <w:rPr>
                <w:rFonts w:ascii="Arial" w:hAnsi="Arial"/>
                <w:szCs w:val="24"/>
                <w:lang w:val="en-US"/>
              </w:rPr>
            </w:pPr>
          </w:p>
          <w:p w14:paraId="333A96A0" w14:textId="77777777" w:rsidR="00A572DF" w:rsidRPr="00A572DF" w:rsidRDefault="00A572DF" w:rsidP="00A572DF">
            <w:pPr>
              <w:spacing w:after="240" w:line="320" w:lineRule="exact"/>
              <w:rPr>
                <w:rFonts w:ascii="Arial" w:hAnsi="Arial"/>
                <w:szCs w:val="24"/>
                <w:lang w:val="en-US"/>
              </w:rPr>
            </w:pPr>
          </w:p>
          <w:p w14:paraId="69B13D22" w14:textId="77777777" w:rsidR="00A572DF" w:rsidRPr="00A572DF" w:rsidRDefault="00A572DF" w:rsidP="00A572DF">
            <w:pPr>
              <w:spacing w:after="240" w:line="320" w:lineRule="exact"/>
              <w:rPr>
                <w:rFonts w:ascii="Arial" w:hAnsi="Arial"/>
                <w:szCs w:val="24"/>
                <w:lang w:val="en-US"/>
              </w:rPr>
            </w:pPr>
          </w:p>
          <w:p w14:paraId="4F8331DB" w14:textId="77777777" w:rsidR="00A572DF" w:rsidRPr="00A572DF" w:rsidRDefault="00A572DF" w:rsidP="00A572DF">
            <w:pPr>
              <w:spacing w:after="240" w:line="320" w:lineRule="exact"/>
              <w:rPr>
                <w:rFonts w:ascii="Arial" w:hAnsi="Arial"/>
                <w:szCs w:val="24"/>
                <w:lang w:val="en-US"/>
              </w:rPr>
            </w:pPr>
          </w:p>
          <w:p w14:paraId="771C8150" w14:textId="77777777" w:rsidR="00A572DF" w:rsidRPr="00A572DF" w:rsidRDefault="00A572DF" w:rsidP="00A572DF">
            <w:pPr>
              <w:spacing w:after="240" w:line="320" w:lineRule="exact"/>
              <w:rPr>
                <w:rFonts w:ascii="Arial" w:hAnsi="Arial"/>
                <w:szCs w:val="24"/>
                <w:lang w:val="en-US"/>
              </w:rPr>
            </w:pPr>
          </w:p>
          <w:p w14:paraId="1B99C357" w14:textId="77777777" w:rsidR="00A572DF" w:rsidRPr="00A572DF" w:rsidRDefault="00A572DF" w:rsidP="00A572DF">
            <w:pPr>
              <w:spacing w:after="240" w:line="320" w:lineRule="exact"/>
              <w:rPr>
                <w:rFonts w:ascii="Arial" w:hAnsi="Arial"/>
                <w:szCs w:val="24"/>
                <w:lang w:val="en-US"/>
              </w:rPr>
            </w:pPr>
          </w:p>
          <w:p w14:paraId="74E79C05" w14:textId="77777777" w:rsidR="00A572DF" w:rsidRPr="00A572DF" w:rsidRDefault="00A572DF" w:rsidP="00A572DF">
            <w:pPr>
              <w:spacing w:after="240" w:line="320" w:lineRule="exact"/>
              <w:rPr>
                <w:rFonts w:ascii="Arial" w:hAnsi="Arial"/>
                <w:szCs w:val="24"/>
                <w:lang w:val="en-US"/>
              </w:rPr>
            </w:pPr>
            <w:r w:rsidRPr="00A572DF">
              <w:rPr>
                <w:rFonts w:ascii="Arial" w:hAnsi="Arial"/>
                <w:noProof/>
                <w:szCs w:val="24"/>
                <w:lang w:val="en-US"/>
              </w:rPr>
              <w:drawing>
                <wp:inline distT="0" distB="0" distL="0" distR="0" wp14:anchorId="46CD2A1F" wp14:editId="4A2CCF2A">
                  <wp:extent cx="2675856" cy="2324100"/>
                  <wp:effectExtent l="0" t="0" r="0" b="0"/>
                  <wp:docPr id="1716500601" name="Bildobjekt 5" descr="En bild som visar text, diagram, linje, Parallel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00601" name="Bildobjekt 5" descr="En bild som visar text, diagram, linje, Parallell&#10;&#10;AI-genererat innehåll kan vara felaktigt."/>
                          <pic:cNvPicPr/>
                        </pic:nvPicPr>
                        <pic:blipFill rotWithShape="1">
                          <a:blip r:embed="rId8" cstate="print">
                            <a:extLst>
                              <a:ext uri="{28A0092B-C50C-407E-A947-70E740481C1C}">
                                <a14:useLocalDpi xmlns:a14="http://schemas.microsoft.com/office/drawing/2010/main" val="0"/>
                              </a:ext>
                            </a:extLst>
                          </a:blip>
                          <a:srcRect t="9391" r="-486"/>
                          <a:stretch/>
                        </pic:blipFill>
                        <pic:spPr bwMode="auto">
                          <a:xfrm>
                            <a:off x="0" y="0"/>
                            <a:ext cx="2727195" cy="2368690"/>
                          </a:xfrm>
                          <a:prstGeom prst="rect">
                            <a:avLst/>
                          </a:prstGeom>
                          <a:ln>
                            <a:noFill/>
                          </a:ln>
                          <a:extLst>
                            <a:ext uri="{53640926-AAD7-44D8-BBD7-CCE9431645EC}">
                              <a14:shadowObscured xmlns:a14="http://schemas.microsoft.com/office/drawing/2010/main"/>
                            </a:ext>
                          </a:extLst>
                        </pic:spPr>
                      </pic:pic>
                    </a:graphicData>
                  </a:graphic>
                </wp:inline>
              </w:drawing>
            </w:r>
          </w:p>
        </w:tc>
      </w:tr>
      <w:tr w:rsidR="00A572DF" w:rsidRPr="00C72D31" w14:paraId="01B4B3D5" w14:textId="77777777" w:rsidTr="00A5764A">
        <w:tc>
          <w:tcPr>
            <w:tcW w:w="5098" w:type="dxa"/>
          </w:tcPr>
          <w:p w14:paraId="25CE2AC6" w14:textId="59132F58" w:rsidR="00A572DF" w:rsidRPr="00A572DF" w:rsidRDefault="00A572DF" w:rsidP="00A572DF">
            <w:pPr>
              <w:spacing w:after="240" w:line="320" w:lineRule="exact"/>
              <w:rPr>
                <w:rFonts w:ascii="Arial" w:hAnsi="Arial" w:cs="Arial"/>
                <w:sz w:val="18"/>
                <w:szCs w:val="18"/>
                <w:lang w:val="en-US"/>
              </w:rPr>
            </w:pPr>
            <w:r w:rsidRPr="00A572DF">
              <w:rPr>
                <w:rFonts w:ascii="Arial" w:hAnsi="Arial"/>
                <w:noProof/>
                <w:sz w:val="18"/>
                <w:szCs w:val="18"/>
                <w:lang w:val="en-US"/>
              </w:rPr>
              <w:t>Fig. 1:</w:t>
            </w:r>
            <w:r>
              <w:rPr>
                <w:rFonts w:ascii="Arial" w:hAnsi="Arial"/>
                <w:noProof/>
                <w:sz w:val="18"/>
                <w:szCs w:val="18"/>
                <w:lang w:val="en-US"/>
              </w:rPr>
              <w:t xml:space="preserve"> </w:t>
            </w:r>
            <w:r w:rsidRPr="00A572DF">
              <w:rPr>
                <w:rFonts w:ascii="Arial" w:hAnsi="Arial"/>
                <w:noProof/>
                <w:sz w:val="18"/>
                <w:szCs w:val="18"/>
                <w:lang w:val="en-US"/>
              </w:rPr>
              <w:t>The calculated C-Co-W phase diagram at 10wt%Co (15.5at%Co), showing the limiting C contents to avoid graphite (gra) or M6C/eta</w:t>
            </w:r>
            <w:r w:rsidRPr="00A572DF">
              <w:rPr>
                <w:rFonts w:ascii="Arial" w:hAnsi="Arial" w:cs="Arial"/>
                <w:noProof/>
                <w:sz w:val="18"/>
                <w:szCs w:val="18"/>
                <w:lang w:val="en-US"/>
              </w:rPr>
              <w:t>-phase (the C-window).</w:t>
            </w:r>
          </w:p>
        </w:tc>
        <w:tc>
          <w:tcPr>
            <w:tcW w:w="5097" w:type="dxa"/>
          </w:tcPr>
          <w:p w14:paraId="714BBD93" w14:textId="7E1E4752" w:rsidR="00A572DF" w:rsidRPr="00A572DF" w:rsidRDefault="00A572DF" w:rsidP="00A572DF">
            <w:pPr>
              <w:spacing w:after="240" w:line="320" w:lineRule="exact"/>
              <w:rPr>
                <w:rFonts w:ascii="Arial" w:hAnsi="Arial"/>
                <w:noProof/>
                <w:sz w:val="18"/>
                <w:szCs w:val="18"/>
                <w:lang w:val="en-US"/>
              </w:rPr>
            </w:pPr>
            <w:r w:rsidRPr="00A572DF">
              <w:rPr>
                <w:rFonts w:ascii="Arial" w:hAnsi="Arial"/>
                <w:noProof/>
                <w:sz w:val="18"/>
                <w:szCs w:val="18"/>
                <w:lang w:val="en-US"/>
              </w:rPr>
              <w:t>Fig. 2:</w:t>
            </w:r>
            <w:r>
              <w:rPr>
                <w:rFonts w:ascii="Arial" w:hAnsi="Arial"/>
                <w:noProof/>
                <w:sz w:val="18"/>
                <w:szCs w:val="18"/>
                <w:lang w:val="en-US"/>
              </w:rPr>
              <w:t xml:space="preserve"> </w:t>
            </w:r>
            <w:r w:rsidRPr="00A572DF">
              <w:rPr>
                <w:rFonts w:ascii="Arial" w:hAnsi="Arial"/>
                <w:noProof/>
                <w:sz w:val="18"/>
                <w:szCs w:val="18"/>
                <w:lang w:val="en-US"/>
              </w:rPr>
              <w:t xml:space="preserve">The calculated C-Co-W-Ti phase diagram at 10wt%Co and 10wt%Ti. The melting temperatures and C window are changed compared to Fig.1. </w:t>
            </w:r>
          </w:p>
        </w:tc>
      </w:tr>
    </w:tbl>
    <w:p w14:paraId="136EA66E" w14:textId="43625DDE" w:rsidR="008B4DD2" w:rsidRPr="006B5D65" w:rsidRDefault="008B4DD2">
      <w:pPr>
        <w:rPr>
          <w:lang w:val="en-US"/>
        </w:rPr>
      </w:pPr>
    </w:p>
    <w:p w14:paraId="2239E082" w14:textId="218FF08F" w:rsidR="00E40595" w:rsidRDefault="009C348B" w:rsidP="00A40A20">
      <w:pPr>
        <w:rPr>
          <w:lang w:val="en-US"/>
        </w:rPr>
      </w:pPr>
      <w:r>
        <w:rPr>
          <w:lang w:val="en-US"/>
        </w:rPr>
        <w:t xml:space="preserve">To calculate these </w:t>
      </w:r>
      <w:proofErr w:type="gramStart"/>
      <w:r>
        <w:rPr>
          <w:lang w:val="en-US"/>
        </w:rPr>
        <w:t>diagrams</w:t>
      </w:r>
      <w:proofErr w:type="gramEnd"/>
      <w:r>
        <w:rPr>
          <w:lang w:val="en-US"/>
        </w:rPr>
        <w:t xml:space="preserve"> you need to use </w:t>
      </w:r>
      <w:proofErr w:type="gramStart"/>
      <w:r>
        <w:rPr>
          <w:lang w:val="en-US"/>
        </w:rPr>
        <w:t>a software</w:t>
      </w:r>
      <w:proofErr w:type="gramEnd"/>
      <w:r>
        <w:rPr>
          <w:lang w:val="en-US"/>
        </w:rPr>
        <w:t xml:space="preserve"> for thermodynamic calculations and have access to a database </w:t>
      </w:r>
      <w:r w:rsidR="00CA46D5">
        <w:rPr>
          <w:lang w:val="en-US"/>
        </w:rPr>
        <w:t xml:space="preserve">for </w:t>
      </w:r>
      <w:proofErr w:type="spellStart"/>
      <w:proofErr w:type="gramStart"/>
      <w:r w:rsidR="00CA46D5">
        <w:rPr>
          <w:lang w:val="en-US"/>
        </w:rPr>
        <w:t>hardmetals</w:t>
      </w:r>
      <w:proofErr w:type="spellEnd"/>
      <w:proofErr w:type="gramEnd"/>
      <w:r w:rsidR="00CA46D5">
        <w:rPr>
          <w:lang w:val="en-US"/>
        </w:rPr>
        <w:t xml:space="preserve">. </w:t>
      </w:r>
      <w:r w:rsidR="00A40A20" w:rsidRPr="00A40A20">
        <w:rPr>
          <w:lang w:val="en-US"/>
        </w:rPr>
        <w:t xml:space="preserve">To simplify the access to information on melting temperatures and phase stabilities a tool has been developed. The tool is based on data </w:t>
      </w:r>
      <w:r w:rsidR="00A40A20" w:rsidRPr="00A40A20">
        <w:rPr>
          <w:lang w:val="en-US"/>
        </w:rPr>
        <w:lastRenderedPageBreak/>
        <w:t>analysis and gives rapid and easy access to melting temperatures and C balance</w:t>
      </w:r>
      <w:r w:rsidR="006C7584">
        <w:rPr>
          <w:lang w:val="en-US"/>
        </w:rPr>
        <w:t xml:space="preserve"> for</w:t>
      </w:r>
      <w:r w:rsidR="00A40A20" w:rsidRPr="00A40A20">
        <w:rPr>
          <w:lang w:val="en-US"/>
        </w:rPr>
        <w:t xml:space="preserve"> alloys with varying compositions. No additional software or database is needed. In addition, the fractions of each phase are visualized. This can be important when assessing the C-window since very small fractions of eta-phase or graphite may lie within the limits of uncertainty of the calculations. </w:t>
      </w:r>
      <w:r w:rsidR="00F81BA7">
        <w:rPr>
          <w:lang w:val="en-US"/>
        </w:rPr>
        <w:t xml:space="preserve">The figures below show how to use the tool. </w:t>
      </w:r>
    </w:p>
    <w:p w14:paraId="5F16B4F1" w14:textId="77777777" w:rsidR="007C7CEB" w:rsidRDefault="00491F42" w:rsidP="007C7CEB">
      <w:pPr>
        <w:keepNext/>
      </w:pPr>
      <w:r>
        <w:rPr>
          <w:noProof/>
        </w:rPr>
        <w:drawing>
          <wp:inline distT="0" distB="0" distL="0" distR="0" wp14:anchorId="1E9808F1" wp14:editId="153D71E3">
            <wp:extent cx="5024450" cy="2848407"/>
            <wp:effectExtent l="0" t="0" r="5080" b="9525"/>
            <wp:docPr id="53876900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69003"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034903" cy="2854333"/>
                    </a:xfrm>
                    <a:prstGeom prst="rect">
                      <a:avLst/>
                    </a:prstGeom>
                  </pic:spPr>
                </pic:pic>
              </a:graphicData>
            </a:graphic>
          </wp:inline>
        </w:drawing>
      </w:r>
    </w:p>
    <w:p w14:paraId="7BB5807E" w14:textId="34A2A6D9" w:rsidR="005A6C05" w:rsidRPr="00971E78" w:rsidRDefault="007C7CEB" w:rsidP="007C7CEB">
      <w:pPr>
        <w:pStyle w:val="Beskrivning"/>
        <w:rPr>
          <w:lang w:val="en-US"/>
        </w:rPr>
      </w:pPr>
      <w:r w:rsidRPr="00971E78">
        <w:rPr>
          <w:lang w:val="en-US"/>
        </w:rPr>
        <w:t xml:space="preserve">Figure </w:t>
      </w:r>
      <w:r>
        <w:fldChar w:fldCharType="begin"/>
      </w:r>
      <w:r w:rsidRPr="00971E78">
        <w:rPr>
          <w:lang w:val="en-US"/>
        </w:rPr>
        <w:instrText xml:space="preserve"> SEQ Figure \* ARABIC </w:instrText>
      </w:r>
      <w:r>
        <w:fldChar w:fldCharType="separate"/>
      </w:r>
      <w:r w:rsidR="003A6201">
        <w:rPr>
          <w:noProof/>
          <w:lang w:val="en-US"/>
        </w:rPr>
        <w:t>1</w:t>
      </w:r>
      <w:r>
        <w:fldChar w:fldCharType="end"/>
      </w:r>
      <w:r w:rsidR="00971E78" w:rsidRPr="00971E78">
        <w:rPr>
          <w:lang w:val="en-US"/>
        </w:rPr>
        <w:t xml:space="preserve"> </w:t>
      </w:r>
      <w:r w:rsidR="00971E78">
        <w:rPr>
          <w:lang w:val="en-US"/>
        </w:rPr>
        <w:t>S</w:t>
      </w:r>
      <w:r w:rsidR="00971E78" w:rsidRPr="00971E78">
        <w:rPr>
          <w:lang w:val="en-US"/>
        </w:rPr>
        <w:t>elect the composition (10%Co in this example</w:t>
      </w:r>
      <w:r w:rsidR="00966425" w:rsidRPr="00971E78">
        <w:rPr>
          <w:lang w:val="en-US"/>
        </w:rPr>
        <w:t>) and</w:t>
      </w:r>
      <w:r w:rsidR="00971E78" w:rsidRPr="00971E78">
        <w:rPr>
          <w:lang w:val="en-US"/>
        </w:rPr>
        <w:t xml:space="preserve"> select the phase you want to study. Each datapoint represents a composition. In this figure you can see that all points contain WC</w:t>
      </w:r>
      <w:r w:rsidR="00E765DF">
        <w:rPr>
          <w:lang w:val="en-US"/>
        </w:rPr>
        <w:t xml:space="preserve"> (</w:t>
      </w:r>
      <w:r w:rsidR="00394EB4">
        <w:rPr>
          <w:lang w:val="en-US"/>
        </w:rPr>
        <w:t xml:space="preserve">WC containing compositions are </w:t>
      </w:r>
      <w:r w:rsidR="00E765DF">
        <w:rPr>
          <w:lang w:val="en-US"/>
        </w:rPr>
        <w:t>marked in red)</w:t>
      </w:r>
      <w:r w:rsidR="00971E78" w:rsidRPr="00971E78">
        <w:rPr>
          <w:lang w:val="en-US"/>
        </w:rPr>
        <w:t>.</w:t>
      </w:r>
    </w:p>
    <w:p w14:paraId="0802D57E" w14:textId="25EBB646" w:rsidR="00966425" w:rsidRDefault="0008100B" w:rsidP="004404B8">
      <w:pPr>
        <w:keepNext/>
        <w:ind w:left="360"/>
      </w:pPr>
      <w:r>
        <w:rPr>
          <w:noProof/>
        </w:rPr>
        <w:drawing>
          <wp:inline distT="0" distB="0" distL="0" distR="0" wp14:anchorId="3AB16701" wp14:editId="059A40B1">
            <wp:extent cx="4831806" cy="2717891"/>
            <wp:effectExtent l="0" t="0" r="6985" b="6350"/>
            <wp:docPr id="48050748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07482"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848281" cy="2727158"/>
                    </a:xfrm>
                    <a:prstGeom prst="rect">
                      <a:avLst/>
                    </a:prstGeom>
                  </pic:spPr>
                </pic:pic>
              </a:graphicData>
            </a:graphic>
          </wp:inline>
        </w:drawing>
      </w:r>
    </w:p>
    <w:p w14:paraId="4D8D87D3" w14:textId="03F1CC1C" w:rsidR="00AF26C5" w:rsidRPr="00F8628A" w:rsidRDefault="00966425" w:rsidP="00966425">
      <w:pPr>
        <w:pStyle w:val="Beskrivning"/>
        <w:rPr>
          <w:lang w:val="en-US"/>
        </w:rPr>
      </w:pPr>
      <w:r w:rsidRPr="00966425">
        <w:rPr>
          <w:lang w:val="en-US"/>
        </w:rPr>
        <w:t xml:space="preserve">Figure </w:t>
      </w:r>
      <w:r>
        <w:fldChar w:fldCharType="begin"/>
      </w:r>
      <w:r w:rsidRPr="00966425">
        <w:rPr>
          <w:lang w:val="en-US"/>
        </w:rPr>
        <w:instrText xml:space="preserve"> SEQ Figure \* ARABIC </w:instrText>
      </w:r>
      <w:r>
        <w:fldChar w:fldCharType="separate"/>
      </w:r>
      <w:r w:rsidR="003A6201">
        <w:rPr>
          <w:noProof/>
          <w:lang w:val="en-US"/>
        </w:rPr>
        <w:t>2</w:t>
      </w:r>
      <w:r>
        <w:fldChar w:fldCharType="end"/>
      </w:r>
      <w:r w:rsidRPr="00966425">
        <w:rPr>
          <w:lang w:val="en-US"/>
        </w:rPr>
        <w:t xml:space="preserve"> </w:t>
      </w:r>
      <w:r w:rsidR="00C10E5F">
        <w:rPr>
          <w:lang w:val="en-US"/>
        </w:rPr>
        <w:t>In this figure</w:t>
      </w:r>
      <w:r w:rsidRPr="00966425">
        <w:rPr>
          <w:lang w:val="en-US"/>
        </w:rPr>
        <w:t xml:space="preserve"> the points containing liquid phase are marked in red</w:t>
      </w:r>
      <w:r w:rsidR="000B2809">
        <w:rPr>
          <w:lang w:val="en-US"/>
        </w:rPr>
        <w:t xml:space="preserve">, and </w:t>
      </w:r>
      <w:r w:rsidR="004404B8">
        <w:rPr>
          <w:lang w:val="en-US"/>
        </w:rPr>
        <w:t>this</w:t>
      </w:r>
      <w:r w:rsidRPr="000B2809">
        <w:rPr>
          <w:lang w:val="en-US"/>
        </w:rPr>
        <w:t xml:space="preserve"> </w:t>
      </w:r>
      <w:r w:rsidR="00E765DF">
        <w:rPr>
          <w:lang w:val="en-US"/>
        </w:rPr>
        <w:t xml:space="preserve">diagram </w:t>
      </w:r>
      <w:r w:rsidRPr="000B2809">
        <w:rPr>
          <w:lang w:val="en-US"/>
        </w:rPr>
        <w:t>shows the melting temperature</w:t>
      </w:r>
      <w:r w:rsidR="00DE76B4">
        <w:rPr>
          <w:lang w:val="en-US"/>
        </w:rPr>
        <w:t xml:space="preserve"> at varying</w:t>
      </w:r>
      <w:r w:rsidRPr="000B2809">
        <w:rPr>
          <w:lang w:val="en-US"/>
        </w:rPr>
        <w:t xml:space="preserve"> C-content</w:t>
      </w:r>
      <w:r w:rsidR="00DE76B4">
        <w:rPr>
          <w:lang w:val="en-US"/>
        </w:rPr>
        <w:t>s</w:t>
      </w:r>
      <w:r w:rsidRPr="000B2809">
        <w:rPr>
          <w:lang w:val="en-US"/>
        </w:rPr>
        <w:t>.</w:t>
      </w:r>
    </w:p>
    <w:p w14:paraId="36C72F9E" w14:textId="77777777" w:rsidR="00192702" w:rsidRDefault="00BC3D8E" w:rsidP="00192702">
      <w:pPr>
        <w:keepNext/>
      </w:pPr>
      <w:r>
        <w:rPr>
          <w:noProof/>
        </w:rPr>
        <w:lastRenderedPageBreak/>
        <w:drawing>
          <wp:inline distT="0" distB="0" distL="0" distR="0" wp14:anchorId="1B55702C" wp14:editId="25CDFFDD">
            <wp:extent cx="4524293" cy="2544916"/>
            <wp:effectExtent l="0" t="0" r="0" b="8255"/>
            <wp:docPr id="51800953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09539"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564229" cy="2567380"/>
                    </a:xfrm>
                    <a:prstGeom prst="rect">
                      <a:avLst/>
                    </a:prstGeom>
                  </pic:spPr>
                </pic:pic>
              </a:graphicData>
            </a:graphic>
          </wp:inline>
        </w:drawing>
      </w:r>
    </w:p>
    <w:p w14:paraId="431BA059" w14:textId="3068BAAA" w:rsidR="00BE521C" w:rsidRDefault="00192702" w:rsidP="00192702">
      <w:pPr>
        <w:pStyle w:val="Beskrivning"/>
        <w:rPr>
          <w:lang w:val="en-US"/>
        </w:rPr>
      </w:pPr>
      <w:r w:rsidRPr="00192702">
        <w:rPr>
          <w:lang w:val="en-US"/>
        </w:rPr>
        <w:t xml:space="preserve">Figure </w:t>
      </w:r>
      <w:r>
        <w:fldChar w:fldCharType="begin"/>
      </w:r>
      <w:r w:rsidRPr="00192702">
        <w:rPr>
          <w:lang w:val="en-US"/>
        </w:rPr>
        <w:instrText xml:space="preserve"> SEQ Figure \* ARABIC </w:instrText>
      </w:r>
      <w:r>
        <w:fldChar w:fldCharType="separate"/>
      </w:r>
      <w:r w:rsidR="003A6201">
        <w:rPr>
          <w:noProof/>
          <w:lang w:val="en-US"/>
        </w:rPr>
        <w:t>3</w:t>
      </w:r>
      <w:r>
        <w:fldChar w:fldCharType="end"/>
      </w:r>
      <w:r w:rsidRPr="00192702">
        <w:rPr>
          <w:lang w:val="en-US"/>
        </w:rPr>
        <w:t>. I</w:t>
      </w:r>
      <w:r w:rsidR="0015673A">
        <w:rPr>
          <w:lang w:val="en-US"/>
        </w:rPr>
        <w:t>n</w:t>
      </w:r>
      <w:r w:rsidRPr="00192702">
        <w:rPr>
          <w:lang w:val="en-US"/>
        </w:rPr>
        <w:t xml:space="preserve"> this figure t</w:t>
      </w:r>
      <w:r>
        <w:rPr>
          <w:lang w:val="en-US"/>
        </w:rPr>
        <w:t xml:space="preserve">he </w:t>
      </w:r>
      <w:r w:rsidR="00295549">
        <w:rPr>
          <w:lang w:val="en-US"/>
        </w:rPr>
        <w:t xml:space="preserve">points containing </w:t>
      </w:r>
      <w:r w:rsidR="00720E91">
        <w:rPr>
          <w:lang w:val="en-US"/>
        </w:rPr>
        <w:t>Co binder (</w:t>
      </w:r>
      <w:proofErr w:type="spellStart"/>
      <w:r w:rsidR="00720E91">
        <w:rPr>
          <w:lang w:val="en-US"/>
        </w:rPr>
        <w:t>fcc</w:t>
      </w:r>
      <w:proofErr w:type="spellEnd"/>
      <w:r w:rsidR="00720E91">
        <w:rPr>
          <w:lang w:val="en-US"/>
        </w:rPr>
        <w:t xml:space="preserve">) </w:t>
      </w:r>
      <w:r w:rsidR="00295549">
        <w:rPr>
          <w:lang w:val="en-US"/>
        </w:rPr>
        <w:t>are</w:t>
      </w:r>
      <w:r w:rsidR="00720E91">
        <w:rPr>
          <w:lang w:val="en-US"/>
        </w:rPr>
        <w:t xml:space="preserve"> marked in red. Here the melting points are marked</w:t>
      </w:r>
      <w:r w:rsidR="00295549">
        <w:rPr>
          <w:lang w:val="en-US"/>
        </w:rPr>
        <w:t xml:space="preserve"> wi</w:t>
      </w:r>
      <w:r w:rsidR="007A2A62">
        <w:rPr>
          <w:lang w:val="en-US"/>
        </w:rPr>
        <w:t>t</w:t>
      </w:r>
      <w:r w:rsidR="00295549">
        <w:rPr>
          <w:lang w:val="en-US"/>
        </w:rPr>
        <w:t>h</w:t>
      </w:r>
      <w:r w:rsidR="007A2A62">
        <w:rPr>
          <w:lang w:val="en-US"/>
        </w:rPr>
        <w:t xml:space="preserve"> </w:t>
      </w:r>
      <w:proofErr w:type="gramStart"/>
      <w:r w:rsidR="007A2A62">
        <w:rPr>
          <w:lang w:val="en-US"/>
        </w:rPr>
        <w:t>lines</w:t>
      </w:r>
      <w:r w:rsidR="00295549">
        <w:rPr>
          <w:lang w:val="en-US"/>
        </w:rPr>
        <w:t xml:space="preserve"> </w:t>
      </w:r>
      <w:r w:rsidR="00720E91">
        <w:rPr>
          <w:lang w:val="en-US"/>
        </w:rPr>
        <w:t>.</w:t>
      </w:r>
      <w:proofErr w:type="gramEnd"/>
      <w:r w:rsidR="00720E91">
        <w:rPr>
          <w:lang w:val="en-US"/>
        </w:rPr>
        <w:t xml:space="preserve"> </w:t>
      </w:r>
    </w:p>
    <w:p w14:paraId="215CD674" w14:textId="77777777" w:rsidR="00AF5E21" w:rsidRDefault="00AF5E21" w:rsidP="00AF5E21">
      <w:pPr>
        <w:keepNext/>
      </w:pPr>
      <w:r>
        <w:rPr>
          <w:noProof/>
        </w:rPr>
        <w:drawing>
          <wp:inline distT="0" distB="0" distL="0" distR="0" wp14:anchorId="404FCFCE" wp14:editId="14F9022C">
            <wp:extent cx="4468633" cy="2513606"/>
            <wp:effectExtent l="0" t="0" r="8255" b="1270"/>
            <wp:docPr id="111452436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24365"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504975" cy="2534048"/>
                    </a:xfrm>
                    <a:prstGeom prst="rect">
                      <a:avLst/>
                    </a:prstGeom>
                  </pic:spPr>
                </pic:pic>
              </a:graphicData>
            </a:graphic>
          </wp:inline>
        </w:drawing>
      </w:r>
    </w:p>
    <w:p w14:paraId="4DBBA4E8" w14:textId="5C2179D6" w:rsidR="00B7663E" w:rsidRPr="00295549" w:rsidRDefault="00AF5E21" w:rsidP="002B61CB">
      <w:pPr>
        <w:pStyle w:val="Beskrivning"/>
        <w:rPr>
          <w:lang w:val="en-US"/>
        </w:rPr>
      </w:pPr>
      <w:r w:rsidRPr="00AF5E21">
        <w:rPr>
          <w:lang w:val="en-US"/>
        </w:rPr>
        <w:t xml:space="preserve">Figure </w:t>
      </w:r>
      <w:r>
        <w:fldChar w:fldCharType="begin"/>
      </w:r>
      <w:r w:rsidRPr="00AF5E21">
        <w:rPr>
          <w:lang w:val="en-US"/>
        </w:rPr>
        <w:instrText xml:space="preserve"> SEQ Figure \* ARABIC </w:instrText>
      </w:r>
      <w:r>
        <w:fldChar w:fldCharType="separate"/>
      </w:r>
      <w:r w:rsidR="003A6201">
        <w:rPr>
          <w:noProof/>
          <w:lang w:val="en-US"/>
        </w:rPr>
        <w:t>4</w:t>
      </w:r>
      <w:r>
        <w:fldChar w:fldCharType="end"/>
      </w:r>
      <w:r w:rsidRPr="00AF5E21">
        <w:rPr>
          <w:lang w:val="en-US"/>
        </w:rPr>
        <w:t>. In this figure th</w:t>
      </w:r>
      <w:r>
        <w:rPr>
          <w:lang w:val="en-US"/>
        </w:rPr>
        <w:t xml:space="preserve">e </w:t>
      </w:r>
      <w:r w:rsidR="00804FA7">
        <w:rPr>
          <w:lang w:val="en-US"/>
        </w:rPr>
        <w:t xml:space="preserve">compositions containing the M6C carbide are marked in red. Moving the pointer over the diagram will give you the exact amount of </w:t>
      </w:r>
      <w:proofErr w:type="gramStart"/>
      <w:r w:rsidR="00804FA7">
        <w:rPr>
          <w:lang w:val="en-US"/>
        </w:rPr>
        <w:t>the carbide</w:t>
      </w:r>
      <w:proofErr w:type="gramEnd"/>
      <w:r w:rsidR="00891DEA">
        <w:rPr>
          <w:lang w:val="en-US"/>
        </w:rPr>
        <w:t xml:space="preserve"> (shown in the black box).</w:t>
      </w:r>
      <w:r w:rsidR="005F1458">
        <w:rPr>
          <w:noProof/>
        </w:rPr>
        <w:drawing>
          <wp:inline distT="0" distB="0" distL="0" distR="0" wp14:anchorId="19A7F72D" wp14:editId="51459EDD">
            <wp:extent cx="4391025" cy="2469951"/>
            <wp:effectExtent l="0" t="0" r="0" b="6985"/>
            <wp:docPr id="200497437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74375"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4454483" cy="2505646"/>
                    </a:xfrm>
                    <a:prstGeom prst="rect">
                      <a:avLst/>
                    </a:prstGeom>
                  </pic:spPr>
                </pic:pic>
              </a:graphicData>
            </a:graphic>
          </wp:inline>
        </w:drawing>
      </w:r>
    </w:p>
    <w:p w14:paraId="340DC2EA" w14:textId="511DDC7C" w:rsidR="00891DEA" w:rsidRPr="00FE3880" w:rsidRDefault="00B7663E" w:rsidP="00B7663E">
      <w:pPr>
        <w:pStyle w:val="Beskrivning"/>
        <w:rPr>
          <w:lang w:val="en-US"/>
        </w:rPr>
      </w:pPr>
      <w:r w:rsidRPr="00FE3880">
        <w:rPr>
          <w:lang w:val="en-US"/>
        </w:rPr>
        <w:t xml:space="preserve">Figure </w:t>
      </w:r>
      <w:r>
        <w:fldChar w:fldCharType="begin"/>
      </w:r>
      <w:r w:rsidRPr="00FE3880">
        <w:rPr>
          <w:lang w:val="en-US"/>
        </w:rPr>
        <w:instrText xml:space="preserve"> SEQ Figure \* ARABIC </w:instrText>
      </w:r>
      <w:r>
        <w:fldChar w:fldCharType="separate"/>
      </w:r>
      <w:r w:rsidR="003A6201">
        <w:rPr>
          <w:noProof/>
          <w:lang w:val="en-US"/>
        </w:rPr>
        <w:t>5</w:t>
      </w:r>
      <w:r>
        <w:fldChar w:fldCharType="end"/>
      </w:r>
      <w:r w:rsidRPr="00FE3880">
        <w:rPr>
          <w:lang w:val="en-US"/>
        </w:rPr>
        <w:t xml:space="preserve">. The </w:t>
      </w:r>
      <w:r w:rsidR="00FE3880" w:rsidRPr="00FE3880">
        <w:rPr>
          <w:lang w:val="en-US"/>
        </w:rPr>
        <w:t>C-window i</w:t>
      </w:r>
      <w:r w:rsidR="00FE3880">
        <w:rPr>
          <w:lang w:val="en-US"/>
        </w:rPr>
        <w:t>s shown in this figure.</w:t>
      </w:r>
      <w:r w:rsidR="0037074F">
        <w:rPr>
          <w:lang w:val="en-US"/>
        </w:rPr>
        <w:t xml:space="preserve"> The red points to the right show the </w:t>
      </w:r>
      <w:r w:rsidR="00FD30DD">
        <w:rPr>
          <w:lang w:val="en-US"/>
        </w:rPr>
        <w:t>datapoints</w:t>
      </w:r>
      <w:r w:rsidR="0037074F">
        <w:rPr>
          <w:lang w:val="en-US"/>
        </w:rPr>
        <w:t xml:space="preserve"> where graphite is present. </w:t>
      </w:r>
    </w:p>
    <w:sectPr w:rsidR="00891DEA" w:rsidRPr="00FE3880">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14451" w14:textId="77777777" w:rsidR="0094159F" w:rsidRDefault="0094159F" w:rsidP="00C72D31">
      <w:pPr>
        <w:spacing w:after="0" w:line="240" w:lineRule="auto"/>
      </w:pPr>
      <w:r>
        <w:separator/>
      </w:r>
    </w:p>
  </w:endnote>
  <w:endnote w:type="continuationSeparator" w:id="0">
    <w:p w14:paraId="61F30288" w14:textId="77777777" w:rsidR="0094159F" w:rsidRDefault="0094159F" w:rsidP="00C72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4099D" w14:textId="77777777" w:rsidR="0094159F" w:rsidRDefault="0094159F" w:rsidP="00C72D31">
      <w:pPr>
        <w:spacing w:after="0" w:line="240" w:lineRule="auto"/>
      </w:pPr>
      <w:r>
        <w:separator/>
      </w:r>
    </w:p>
  </w:footnote>
  <w:footnote w:type="continuationSeparator" w:id="0">
    <w:p w14:paraId="43333705" w14:textId="77777777" w:rsidR="0094159F" w:rsidRDefault="0094159F" w:rsidP="00C72D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DE8BF" w14:textId="2AE485B2" w:rsidR="00C72D31" w:rsidRPr="001F7187" w:rsidRDefault="00B7795A" w:rsidP="00B7795A">
    <w:pPr>
      <w:rPr>
        <w:lang w:val="en-US"/>
      </w:rPr>
    </w:pPr>
    <w:r w:rsidRPr="001F7187">
      <w:rPr>
        <w:lang w:val="en-US"/>
      </w:rPr>
      <w:t xml:space="preserve">© </w:t>
    </w:r>
    <w:proofErr w:type="spellStart"/>
    <w:r w:rsidRPr="001F7187">
      <w:rPr>
        <w:lang w:val="en-US"/>
      </w:rPr>
      <w:t>Innomat</w:t>
    </w:r>
    <w:proofErr w:type="spellEnd"/>
    <w:r w:rsidRPr="001F7187">
      <w:rPr>
        <w:lang w:val="en-US"/>
      </w:rPr>
      <w:t xml:space="preserve"> AB, 2026</w:t>
    </w:r>
  </w:p>
  <w:p w14:paraId="3BCDAFFC" w14:textId="77777777" w:rsidR="00C72D31" w:rsidRDefault="00C72D31">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073C1"/>
    <w:multiLevelType w:val="hybridMultilevel"/>
    <w:tmpl w:val="EA2075EC"/>
    <w:lvl w:ilvl="0" w:tplc="5E4CECBE">
      <w:start w:val="1"/>
      <w:numFmt w:val="bullet"/>
      <w:lvlText w:val="•"/>
      <w:lvlJc w:val="left"/>
      <w:pPr>
        <w:tabs>
          <w:tab w:val="num" w:pos="720"/>
        </w:tabs>
        <w:ind w:left="720" w:hanging="360"/>
      </w:pPr>
      <w:rPr>
        <w:rFonts w:ascii="Arial" w:hAnsi="Arial" w:hint="default"/>
      </w:rPr>
    </w:lvl>
    <w:lvl w:ilvl="1" w:tplc="BCE4E756">
      <w:numFmt w:val="bullet"/>
      <w:lvlText w:val="•"/>
      <w:lvlJc w:val="left"/>
      <w:pPr>
        <w:tabs>
          <w:tab w:val="num" w:pos="1440"/>
        </w:tabs>
        <w:ind w:left="1440" w:hanging="360"/>
      </w:pPr>
      <w:rPr>
        <w:rFonts w:ascii="Arial" w:hAnsi="Arial" w:hint="default"/>
      </w:rPr>
    </w:lvl>
    <w:lvl w:ilvl="2" w:tplc="8D103486">
      <w:numFmt w:val="bullet"/>
      <w:lvlText w:val="•"/>
      <w:lvlJc w:val="left"/>
      <w:pPr>
        <w:tabs>
          <w:tab w:val="num" w:pos="2160"/>
        </w:tabs>
        <w:ind w:left="2160" w:hanging="360"/>
      </w:pPr>
      <w:rPr>
        <w:rFonts w:ascii="Arial" w:hAnsi="Arial" w:hint="default"/>
      </w:rPr>
    </w:lvl>
    <w:lvl w:ilvl="3" w:tplc="4EEC42C2" w:tentative="1">
      <w:start w:val="1"/>
      <w:numFmt w:val="bullet"/>
      <w:lvlText w:val="•"/>
      <w:lvlJc w:val="left"/>
      <w:pPr>
        <w:tabs>
          <w:tab w:val="num" w:pos="2880"/>
        </w:tabs>
        <w:ind w:left="2880" w:hanging="360"/>
      </w:pPr>
      <w:rPr>
        <w:rFonts w:ascii="Arial" w:hAnsi="Arial" w:hint="default"/>
      </w:rPr>
    </w:lvl>
    <w:lvl w:ilvl="4" w:tplc="6860BFA0" w:tentative="1">
      <w:start w:val="1"/>
      <w:numFmt w:val="bullet"/>
      <w:lvlText w:val="•"/>
      <w:lvlJc w:val="left"/>
      <w:pPr>
        <w:tabs>
          <w:tab w:val="num" w:pos="3600"/>
        </w:tabs>
        <w:ind w:left="3600" w:hanging="360"/>
      </w:pPr>
      <w:rPr>
        <w:rFonts w:ascii="Arial" w:hAnsi="Arial" w:hint="default"/>
      </w:rPr>
    </w:lvl>
    <w:lvl w:ilvl="5" w:tplc="05CA5458" w:tentative="1">
      <w:start w:val="1"/>
      <w:numFmt w:val="bullet"/>
      <w:lvlText w:val="•"/>
      <w:lvlJc w:val="left"/>
      <w:pPr>
        <w:tabs>
          <w:tab w:val="num" w:pos="4320"/>
        </w:tabs>
        <w:ind w:left="4320" w:hanging="360"/>
      </w:pPr>
      <w:rPr>
        <w:rFonts w:ascii="Arial" w:hAnsi="Arial" w:hint="default"/>
      </w:rPr>
    </w:lvl>
    <w:lvl w:ilvl="6" w:tplc="1578FBC0" w:tentative="1">
      <w:start w:val="1"/>
      <w:numFmt w:val="bullet"/>
      <w:lvlText w:val="•"/>
      <w:lvlJc w:val="left"/>
      <w:pPr>
        <w:tabs>
          <w:tab w:val="num" w:pos="5040"/>
        </w:tabs>
        <w:ind w:left="5040" w:hanging="360"/>
      </w:pPr>
      <w:rPr>
        <w:rFonts w:ascii="Arial" w:hAnsi="Arial" w:hint="default"/>
      </w:rPr>
    </w:lvl>
    <w:lvl w:ilvl="7" w:tplc="B11C0A9A" w:tentative="1">
      <w:start w:val="1"/>
      <w:numFmt w:val="bullet"/>
      <w:lvlText w:val="•"/>
      <w:lvlJc w:val="left"/>
      <w:pPr>
        <w:tabs>
          <w:tab w:val="num" w:pos="5760"/>
        </w:tabs>
        <w:ind w:left="5760" w:hanging="360"/>
      </w:pPr>
      <w:rPr>
        <w:rFonts w:ascii="Arial" w:hAnsi="Arial" w:hint="default"/>
      </w:rPr>
    </w:lvl>
    <w:lvl w:ilvl="8" w:tplc="FC7817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6636023"/>
    <w:multiLevelType w:val="hybridMultilevel"/>
    <w:tmpl w:val="93468A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F1A29CC"/>
    <w:multiLevelType w:val="hybridMultilevel"/>
    <w:tmpl w:val="D188002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A5229D1"/>
    <w:multiLevelType w:val="hybridMultilevel"/>
    <w:tmpl w:val="FD761F2E"/>
    <w:lvl w:ilvl="0" w:tplc="88966984">
      <w:start w:val="1"/>
      <w:numFmt w:val="bullet"/>
      <w:lvlText w:val="•"/>
      <w:lvlJc w:val="left"/>
      <w:pPr>
        <w:tabs>
          <w:tab w:val="num" w:pos="720"/>
        </w:tabs>
        <w:ind w:left="720" w:hanging="360"/>
      </w:pPr>
      <w:rPr>
        <w:rFonts w:ascii="Arial" w:hAnsi="Arial" w:hint="default"/>
      </w:rPr>
    </w:lvl>
    <w:lvl w:ilvl="1" w:tplc="6D524F2E">
      <w:numFmt w:val="bullet"/>
      <w:lvlText w:val="•"/>
      <w:lvlJc w:val="left"/>
      <w:pPr>
        <w:tabs>
          <w:tab w:val="num" w:pos="1440"/>
        </w:tabs>
        <w:ind w:left="1440" w:hanging="360"/>
      </w:pPr>
      <w:rPr>
        <w:rFonts w:ascii="Arial" w:hAnsi="Arial" w:hint="default"/>
      </w:rPr>
    </w:lvl>
    <w:lvl w:ilvl="2" w:tplc="0D7EFFF6">
      <w:numFmt w:val="bullet"/>
      <w:lvlText w:val="•"/>
      <w:lvlJc w:val="left"/>
      <w:pPr>
        <w:tabs>
          <w:tab w:val="num" w:pos="2160"/>
        </w:tabs>
        <w:ind w:left="2160" w:hanging="360"/>
      </w:pPr>
      <w:rPr>
        <w:rFonts w:ascii="Arial" w:hAnsi="Arial" w:hint="default"/>
      </w:rPr>
    </w:lvl>
    <w:lvl w:ilvl="3" w:tplc="26EA45CA" w:tentative="1">
      <w:start w:val="1"/>
      <w:numFmt w:val="bullet"/>
      <w:lvlText w:val="•"/>
      <w:lvlJc w:val="left"/>
      <w:pPr>
        <w:tabs>
          <w:tab w:val="num" w:pos="2880"/>
        </w:tabs>
        <w:ind w:left="2880" w:hanging="360"/>
      </w:pPr>
      <w:rPr>
        <w:rFonts w:ascii="Arial" w:hAnsi="Arial" w:hint="default"/>
      </w:rPr>
    </w:lvl>
    <w:lvl w:ilvl="4" w:tplc="B42EBBA6" w:tentative="1">
      <w:start w:val="1"/>
      <w:numFmt w:val="bullet"/>
      <w:lvlText w:val="•"/>
      <w:lvlJc w:val="left"/>
      <w:pPr>
        <w:tabs>
          <w:tab w:val="num" w:pos="3600"/>
        </w:tabs>
        <w:ind w:left="3600" w:hanging="360"/>
      </w:pPr>
      <w:rPr>
        <w:rFonts w:ascii="Arial" w:hAnsi="Arial" w:hint="default"/>
      </w:rPr>
    </w:lvl>
    <w:lvl w:ilvl="5" w:tplc="45A05B84" w:tentative="1">
      <w:start w:val="1"/>
      <w:numFmt w:val="bullet"/>
      <w:lvlText w:val="•"/>
      <w:lvlJc w:val="left"/>
      <w:pPr>
        <w:tabs>
          <w:tab w:val="num" w:pos="4320"/>
        </w:tabs>
        <w:ind w:left="4320" w:hanging="360"/>
      </w:pPr>
      <w:rPr>
        <w:rFonts w:ascii="Arial" w:hAnsi="Arial" w:hint="default"/>
      </w:rPr>
    </w:lvl>
    <w:lvl w:ilvl="6" w:tplc="30B88C46" w:tentative="1">
      <w:start w:val="1"/>
      <w:numFmt w:val="bullet"/>
      <w:lvlText w:val="•"/>
      <w:lvlJc w:val="left"/>
      <w:pPr>
        <w:tabs>
          <w:tab w:val="num" w:pos="5040"/>
        </w:tabs>
        <w:ind w:left="5040" w:hanging="360"/>
      </w:pPr>
      <w:rPr>
        <w:rFonts w:ascii="Arial" w:hAnsi="Arial" w:hint="default"/>
      </w:rPr>
    </w:lvl>
    <w:lvl w:ilvl="7" w:tplc="FE5A77AA" w:tentative="1">
      <w:start w:val="1"/>
      <w:numFmt w:val="bullet"/>
      <w:lvlText w:val="•"/>
      <w:lvlJc w:val="left"/>
      <w:pPr>
        <w:tabs>
          <w:tab w:val="num" w:pos="5760"/>
        </w:tabs>
        <w:ind w:left="5760" w:hanging="360"/>
      </w:pPr>
      <w:rPr>
        <w:rFonts w:ascii="Arial" w:hAnsi="Arial" w:hint="default"/>
      </w:rPr>
    </w:lvl>
    <w:lvl w:ilvl="8" w:tplc="42565CC8" w:tentative="1">
      <w:start w:val="1"/>
      <w:numFmt w:val="bullet"/>
      <w:lvlText w:val="•"/>
      <w:lvlJc w:val="left"/>
      <w:pPr>
        <w:tabs>
          <w:tab w:val="num" w:pos="6480"/>
        </w:tabs>
        <w:ind w:left="6480" w:hanging="360"/>
      </w:pPr>
      <w:rPr>
        <w:rFonts w:ascii="Arial" w:hAnsi="Arial" w:hint="default"/>
      </w:rPr>
    </w:lvl>
  </w:abstractNum>
  <w:num w:numId="1" w16cid:durableId="1222980084">
    <w:abstractNumId w:val="0"/>
  </w:num>
  <w:num w:numId="2" w16cid:durableId="2096969454">
    <w:abstractNumId w:val="3"/>
  </w:num>
  <w:num w:numId="3" w16cid:durableId="1821194362">
    <w:abstractNumId w:val="2"/>
  </w:num>
  <w:num w:numId="4" w16cid:durableId="1503621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DD2"/>
    <w:rsid w:val="0008100B"/>
    <w:rsid w:val="00093D92"/>
    <w:rsid w:val="000B2809"/>
    <w:rsid w:val="000E0DEE"/>
    <w:rsid w:val="0015673A"/>
    <w:rsid w:val="00192702"/>
    <w:rsid w:val="001943CA"/>
    <w:rsid w:val="001C35B2"/>
    <w:rsid w:val="001F7187"/>
    <w:rsid w:val="00295549"/>
    <w:rsid w:val="002B61CB"/>
    <w:rsid w:val="00316E0C"/>
    <w:rsid w:val="00335BB6"/>
    <w:rsid w:val="00354E45"/>
    <w:rsid w:val="0037074F"/>
    <w:rsid w:val="00394EB4"/>
    <w:rsid w:val="003A6201"/>
    <w:rsid w:val="003C6DB4"/>
    <w:rsid w:val="003D37B3"/>
    <w:rsid w:val="004404B8"/>
    <w:rsid w:val="00456423"/>
    <w:rsid w:val="00491F42"/>
    <w:rsid w:val="004928E4"/>
    <w:rsid w:val="004D4106"/>
    <w:rsid w:val="0054039E"/>
    <w:rsid w:val="00582806"/>
    <w:rsid w:val="00583E37"/>
    <w:rsid w:val="00597119"/>
    <w:rsid w:val="005A6C05"/>
    <w:rsid w:val="005B6244"/>
    <w:rsid w:val="005D301F"/>
    <w:rsid w:val="005F1458"/>
    <w:rsid w:val="006433A8"/>
    <w:rsid w:val="00673B32"/>
    <w:rsid w:val="006B5D65"/>
    <w:rsid w:val="006C7584"/>
    <w:rsid w:val="00720E91"/>
    <w:rsid w:val="007371E5"/>
    <w:rsid w:val="007A2A62"/>
    <w:rsid w:val="007C7CEB"/>
    <w:rsid w:val="007E7239"/>
    <w:rsid w:val="00804FA7"/>
    <w:rsid w:val="00820D5E"/>
    <w:rsid w:val="00891DEA"/>
    <w:rsid w:val="008B4DD2"/>
    <w:rsid w:val="008E313E"/>
    <w:rsid w:val="008F6A46"/>
    <w:rsid w:val="00937C8C"/>
    <w:rsid w:val="0094159F"/>
    <w:rsid w:val="00960174"/>
    <w:rsid w:val="00966425"/>
    <w:rsid w:val="00971E78"/>
    <w:rsid w:val="00975C24"/>
    <w:rsid w:val="009A3B58"/>
    <w:rsid w:val="009C348B"/>
    <w:rsid w:val="009D15FC"/>
    <w:rsid w:val="009E3E88"/>
    <w:rsid w:val="00A40A20"/>
    <w:rsid w:val="00A572DF"/>
    <w:rsid w:val="00AA468D"/>
    <w:rsid w:val="00AD2D07"/>
    <w:rsid w:val="00AD4BF4"/>
    <w:rsid w:val="00AF26C5"/>
    <w:rsid w:val="00AF5E21"/>
    <w:rsid w:val="00B07DAE"/>
    <w:rsid w:val="00B53719"/>
    <w:rsid w:val="00B7663E"/>
    <w:rsid w:val="00B7795A"/>
    <w:rsid w:val="00BB35EF"/>
    <w:rsid w:val="00BC3D8E"/>
    <w:rsid w:val="00BE521C"/>
    <w:rsid w:val="00C10E5F"/>
    <w:rsid w:val="00C72D31"/>
    <w:rsid w:val="00CA46D5"/>
    <w:rsid w:val="00D94BCF"/>
    <w:rsid w:val="00DE76B4"/>
    <w:rsid w:val="00E07D99"/>
    <w:rsid w:val="00E25641"/>
    <w:rsid w:val="00E40595"/>
    <w:rsid w:val="00E765DF"/>
    <w:rsid w:val="00EA7D89"/>
    <w:rsid w:val="00EF5CFD"/>
    <w:rsid w:val="00F450BA"/>
    <w:rsid w:val="00F81BA7"/>
    <w:rsid w:val="00F83F34"/>
    <w:rsid w:val="00F8628A"/>
    <w:rsid w:val="00FA6804"/>
    <w:rsid w:val="00FC4F93"/>
    <w:rsid w:val="00FD30DD"/>
    <w:rsid w:val="00FE38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64FCA"/>
  <w15:chartTrackingRefBased/>
  <w15:docId w15:val="{F8097D54-A98D-4D20-84CC-3F96726C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8B4D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8B4D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8B4DD2"/>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8B4DD2"/>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8B4DD2"/>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8B4DD2"/>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8B4DD2"/>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8B4DD2"/>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8B4DD2"/>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B4DD2"/>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8B4DD2"/>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8B4DD2"/>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8B4DD2"/>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8B4DD2"/>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8B4DD2"/>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8B4DD2"/>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8B4DD2"/>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8B4DD2"/>
    <w:rPr>
      <w:rFonts w:eastAsiaTheme="majorEastAsia" w:cstheme="majorBidi"/>
      <w:color w:val="272727" w:themeColor="text1" w:themeTint="D8"/>
    </w:rPr>
  </w:style>
  <w:style w:type="paragraph" w:styleId="Rubrik">
    <w:name w:val="Title"/>
    <w:basedOn w:val="Normal"/>
    <w:next w:val="Normal"/>
    <w:link w:val="RubrikChar"/>
    <w:uiPriority w:val="10"/>
    <w:qFormat/>
    <w:rsid w:val="008B4D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8B4DD2"/>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8B4DD2"/>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8B4DD2"/>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8B4DD2"/>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8B4DD2"/>
    <w:rPr>
      <w:i/>
      <w:iCs/>
      <w:color w:val="404040" w:themeColor="text1" w:themeTint="BF"/>
    </w:rPr>
  </w:style>
  <w:style w:type="paragraph" w:styleId="Liststycke">
    <w:name w:val="List Paragraph"/>
    <w:basedOn w:val="Normal"/>
    <w:uiPriority w:val="34"/>
    <w:qFormat/>
    <w:rsid w:val="008B4DD2"/>
    <w:pPr>
      <w:ind w:left="720"/>
      <w:contextualSpacing/>
    </w:pPr>
  </w:style>
  <w:style w:type="character" w:styleId="Starkbetoning">
    <w:name w:val="Intense Emphasis"/>
    <w:basedOn w:val="Standardstycketeckensnitt"/>
    <w:uiPriority w:val="21"/>
    <w:qFormat/>
    <w:rsid w:val="008B4DD2"/>
    <w:rPr>
      <w:i/>
      <w:iCs/>
      <w:color w:val="0F4761" w:themeColor="accent1" w:themeShade="BF"/>
    </w:rPr>
  </w:style>
  <w:style w:type="paragraph" w:styleId="Starktcitat">
    <w:name w:val="Intense Quote"/>
    <w:basedOn w:val="Normal"/>
    <w:next w:val="Normal"/>
    <w:link w:val="StarktcitatChar"/>
    <w:uiPriority w:val="30"/>
    <w:qFormat/>
    <w:rsid w:val="008B4D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8B4DD2"/>
    <w:rPr>
      <w:i/>
      <w:iCs/>
      <w:color w:val="0F4761" w:themeColor="accent1" w:themeShade="BF"/>
    </w:rPr>
  </w:style>
  <w:style w:type="character" w:styleId="Starkreferens">
    <w:name w:val="Intense Reference"/>
    <w:basedOn w:val="Standardstycketeckensnitt"/>
    <w:uiPriority w:val="32"/>
    <w:qFormat/>
    <w:rsid w:val="008B4DD2"/>
    <w:rPr>
      <w:b/>
      <w:bCs/>
      <w:smallCaps/>
      <w:color w:val="0F4761" w:themeColor="accent1" w:themeShade="BF"/>
      <w:spacing w:val="5"/>
    </w:rPr>
  </w:style>
  <w:style w:type="character" w:styleId="Hyperlnk">
    <w:name w:val="Hyperlink"/>
    <w:basedOn w:val="Standardstycketeckensnitt"/>
    <w:uiPriority w:val="99"/>
    <w:unhideWhenUsed/>
    <w:rsid w:val="00960174"/>
    <w:rPr>
      <w:color w:val="467886" w:themeColor="hyperlink"/>
      <w:u w:val="single"/>
    </w:rPr>
  </w:style>
  <w:style w:type="character" w:styleId="Olstomnmnande">
    <w:name w:val="Unresolved Mention"/>
    <w:basedOn w:val="Standardstycketeckensnitt"/>
    <w:uiPriority w:val="99"/>
    <w:semiHidden/>
    <w:unhideWhenUsed/>
    <w:rsid w:val="00960174"/>
    <w:rPr>
      <w:color w:val="605E5C"/>
      <w:shd w:val="clear" w:color="auto" w:fill="E1DFDD"/>
    </w:rPr>
  </w:style>
  <w:style w:type="table" w:styleId="Tabellrutnt">
    <w:name w:val="Table Grid"/>
    <w:basedOn w:val="Normaltabell"/>
    <w:rsid w:val="00A572DF"/>
    <w:pPr>
      <w:spacing w:after="0" w:line="240" w:lineRule="auto"/>
    </w:pPr>
    <w:rPr>
      <w:rFonts w:ascii="Times New Roman" w:eastAsia="Times New Roman" w:hAnsi="Times New Roman" w:cs="Times New Roman"/>
      <w:kern w:val="0"/>
      <w:sz w:val="20"/>
      <w:szCs w:val="20"/>
      <w:lang w:val="de-AT" w:eastAsia="de-A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krivning">
    <w:name w:val="caption"/>
    <w:basedOn w:val="Normal"/>
    <w:next w:val="Normal"/>
    <w:uiPriority w:val="35"/>
    <w:unhideWhenUsed/>
    <w:qFormat/>
    <w:rsid w:val="007C7CEB"/>
    <w:pPr>
      <w:spacing w:after="200" w:line="240" w:lineRule="auto"/>
    </w:pPr>
    <w:rPr>
      <w:i/>
      <w:iCs/>
      <w:color w:val="0E2841" w:themeColor="text2"/>
      <w:sz w:val="18"/>
      <w:szCs w:val="18"/>
    </w:rPr>
  </w:style>
  <w:style w:type="character" w:styleId="Stark">
    <w:name w:val="Strong"/>
    <w:basedOn w:val="Standardstycketeckensnitt"/>
    <w:uiPriority w:val="22"/>
    <w:qFormat/>
    <w:rsid w:val="00E25641"/>
    <w:rPr>
      <w:b/>
      <w:bCs/>
    </w:rPr>
  </w:style>
  <w:style w:type="paragraph" w:styleId="Sidhuvud">
    <w:name w:val="header"/>
    <w:basedOn w:val="Normal"/>
    <w:link w:val="SidhuvudChar"/>
    <w:uiPriority w:val="99"/>
    <w:unhideWhenUsed/>
    <w:rsid w:val="00C72D3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72D31"/>
  </w:style>
  <w:style w:type="paragraph" w:styleId="Sidfot">
    <w:name w:val="footer"/>
    <w:basedOn w:val="Normal"/>
    <w:link w:val="SidfotChar"/>
    <w:uiPriority w:val="99"/>
    <w:unhideWhenUsed/>
    <w:rsid w:val="00C72D3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72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543</Words>
  <Characters>2883</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Frisk</dc:creator>
  <cp:keywords/>
  <dc:description/>
  <cp:lastModifiedBy>Karin Frisk</cp:lastModifiedBy>
  <cp:revision>11</cp:revision>
  <cp:lastPrinted>2026-02-10T14:25:00Z</cp:lastPrinted>
  <dcterms:created xsi:type="dcterms:W3CDTF">2026-02-10T14:37:00Z</dcterms:created>
  <dcterms:modified xsi:type="dcterms:W3CDTF">2026-02-11T12:48:00Z</dcterms:modified>
</cp:coreProperties>
</file>